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1055" w:rsidRPr="007E7D6C" w:rsidRDefault="007E7D6C">
      <w:pPr>
        <w:spacing w:before="89"/>
        <w:ind w:left="307" w:right="304"/>
        <w:jc w:val="center"/>
        <w:rPr>
          <w:b/>
          <w:sz w:val="28"/>
          <w:lang w:val="it-IT"/>
        </w:rPr>
      </w:pPr>
      <w:bookmarkStart w:id="0" w:name="_GoBack"/>
      <w:bookmarkEnd w:id="0"/>
      <w:r>
        <w:pict>
          <v:group id="_x0000_s1127" style="position:absolute;left:0;text-align:left;margin-left:421.8pt;margin-top:275.3pt;width:13.95pt;height:14.8pt;z-index:-7696;mso-position-horizontal-relative:page;mso-position-vertical-relative:page" coordorigin="8436,5506" coordsize="279,296">
            <v:line id="_x0000_s1130" style="position:absolute" from="8446,5510" to="8705,5510" strokeweight=".48pt"/>
            <v:line id="_x0000_s1129" style="position:absolute" from="8441,5506" to="8441,5801" strokeweight=".48pt"/>
            <v:shape id="_x0000_s1128" style="position:absolute;left:8445;top:5505;width:264;height:296" coordorigin="8446,5506" coordsize="264,296" o:spt="100" adj="0,,0" path="m8710,5506r,295m8446,5796r259,e" filled="f" strokeweight=".48pt">
              <v:stroke joinstyle="round"/>
              <v:formulas/>
              <v:path arrowok="t" o:connecttype="segments"/>
            </v:shape>
            <w10:wrap anchorx="page" anchory="page"/>
          </v:group>
        </w:pict>
      </w:r>
      <w:r>
        <w:pict>
          <v:group id="_x0000_s1121" style="position:absolute;left:0;text-align:left;margin-left:470.5pt;margin-top:275.3pt;width:15.6pt;height:14.8pt;z-index:-7672;mso-position-horizontal-relative:page;mso-position-vertical-relative:page" coordorigin="9410,5506" coordsize="312,296">
            <v:line id="_x0000_s1126" style="position:absolute" from="9420,5689" to="9713,5689" strokeweight=".6pt"/>
            <v:line id="_x0000_s1125" style="position:absolute" from="9420,5665" to="9713,5665" strokeweight=".6pt"/>
            <v:shape id="_x0000_s1124" style="position:absolute;left:9415;top:5505;width:298;height:296" coordorigin="9415,5506" coordsize="298,296" o:spt="100" adj="0,,0" path="m9420,5510r293,m9415,5506r,295e" filled="f" strokeweight=".48pt">
              <v:stroke joinstyle="round"/>
              <v:formulas/>
              <v:path arrowok="t" o:connecttype="segments"/>
            </v:shape>
            <v:line id="_x0000_s1123" style="position:absolute" from="9718,5506" to="9718,5801" strokeweight=".48pt"/>
            <v:line id="_x0000_s1122" style="position:absolute" from="9420,5796" to="9713,5796" strokeweight=".48pt"/>
            <w10:wrap anchorx="page" anchory="page"/>
          </v:group>
        </w:pict>
      </w:r>
      <w:r>
        <w:pict>
          <v:group id="_x0000_s1116" style="position:absolute;left:0;text-align:left;margin-left:421.8pt;margin-top:366.35pt;width:13.95pt;height:14.8pt;z-index:-7648;mso-position-horizontal-relative:page;mso-position-vertical-relative:page" coordorigin="8436,7327" coordsize="279,296">
            <v:line id="_x0000_s1120" style="position:absolute" from="8446,7332" to="8705,7332" strokeweight=".48pt"/>
            <v:line id="_x0000_s1119" style="position:absolute" from="8441,7327" to="8441,7622" strokeweight=".48pt"/>
            <v:line id="_x0000_s1118" style="position:absolute" from="8710,7327" to="8710,7622" strokeweight=".48pt"/>
            <v:line id="_x0000_s1117" style="position:absolute" from="8446,7618" to="8705,7618" strokeweight=".48pt"/>
            <w10:wrap anchorx="page" anchory="page"/>
          </v:group>
        </w:pict>
      </w:r>
      <w:r>
        <w:pict>
          <v:group id="_x0000_s1111" style="position:absolute;left:0;text-align:left;margin-left:470.5pt;margin-top:366.35pt;width:15.6pt;height:14.8pt;z-index:-7624;mso-position-horizontal-relative:page;mso-position-vertical-relative:page" coordorigin="9410,7327" coordsize="312,296">
            <v:shape id="_x0000_s1115" style="position:absolute;left:9420;top:7486;width:293;height:24" coordorigin="9420,7487" coordsize="293,24" o:spt="100" adj="0,,0" path="m9420,7511r293,m9420,7487r293,e" filled="f" strokeweight=".6pt">
              <v:stroke joinstyle="round"/>
              <v:formulas/>
              <v:path arrowok="t" o:connecttype="segments"/>
            </v:shape>
            <v:line id="_x0000_s1114" style="position:absolute" from="9420,7332" to="9713,7332" strokeweight=".48pt"/>
            <v:line id="_x0000_s1113" style="position:absolute" from="9415,7327" to="9415,7622" strokeweight=".48pt"/>
            <v:shape id="_x0000_s1112" style="position:absolute;left:9420;top:7327;width:298;height:296" coordorigin="9420,7327" coordsize="298,296" o:spt="100" adj="0,,0" path="m9718,7327r,295m9420,7618r293,e" filled="f" strokeweight=".48pt">
              <v:stroke joinstyle="round"/>
              <v:formulas/>
              <v:path arrowok="t" o:connecttype="segments"/>
            </v:shape>
            <w10:wrap anchorx="page" anchory="page"/>
          </v:group>
        </w:pict>
      </w:r>
      <w:r>
        <w:pict>
          <v:group id="_x0000_s1107" style="position:absolute;left:0;text-align:left;margin-left:421.8pt;margin-top:431.3pt;width:13.95pt;height:14.8pt;z-index:-7600;mso-position-horizontal-relative:page;mso-position-vertical-relative:page" coordorigin="8436,8626" coordsize="279,296">
            <v:shape id="_x0000_s1110" style="position:absolute;left:8440;top:8625;width:264;height:296" coordorigin="8441,8626" coordsize="264,296" o:spt="100" adj="0,,0" path="m8446,8630r259,m8441,8626r,295e" filled="f" strokeweight=".48pt">
              <v:stroke joinstyle="round"/>
              <v:formulas/>
              <v:path arrowok="t" o:connecttype="segments"/>
            </v:shape>
            <v:line id="_x0000_s1109" style="position:absolute" from="8710,8626" to="8710,8921" strokeweight=".48pt"/>
            <v:line id="_x0000_s1108" style="position:absolute" from="8446,8916" to="8705,8916" strokeweight=".48pt"/>
            <w10:wrap anchorx="page" anchory="page"/>
          </v:group>
        </w:pict>
      </w:r>
      <w:r>
        <w:pict>
          <v:group id="_x0000_s1102" style="position:absolute;left:0;text-align:left;margin-left:470.5pt;margin-top:431.3pt;width:15.6pt;height:14.8pt;z-index:-7576;mso-position-horizontal-relative:page;mso-position-vertical-relative:page" coordorigin="9410,8626" coordsize="312,296">
            <v:shape id="_x0000_s1106" style="position:absolute;left:9420;top:8785;width:293;height:24" coordorigin="9420,8785" coordsize="293,24" o:spt="100" adj="0,,0" path="m9420,8809r293,m9420,8785r293,e" filled="f" strokeweight=".6pt">
              <v:stroke joinstyle="round"/>
              <v:formulas/>
              <v:path arrowok="t" o:connecttype="segments"/>
            </v:shape>
            <v:line id="_x0000_s1105" style="position:absolute" from="9420,8630" to="9713,8630" strokeweight=".48pt"/>
            <v:line id="_x0000_s1104" style="position:absolute" from="9415,8626" to="9415,8921" strokeweight=".48pt"/>
            <v:shape id="_x0000_s1103" style="position:absolute;left:9420;top:8625;width:298;height:296" coordorigin="9420,8626" coordsize="298,296" o:spt="100" adj="0,,0" path="m9718,8626r,295m9420,8916r293,e" filled="f" strokeweight=".48pt">
              <v:stroke joinstyle="round"/>
              <v:formulas/>
              <v:path arrowok="t" o:connecttype="segments"/>
            </v:shape>
            <w10:wrap anchorx="page" anchory="page"/>
          </v:group>
        </w:pict>
      </w:r>
      <w:r>
        <w:pict>
          <v:group id="_x0000_s1099" style="position:absolute;left:0;text-align:left;margin-left:421.8pt;margin-top:473.15pt;width:13.95pt;height:14.8pt;z-index:-7552;mso-position-horizontal-relative:page;mso-position-vertical-relative:page" coordorigin="8436,9463" coordsize="279,296">
            <v:shape id="_x0000_s1101" style="position:absolute;left:8440;top:9463;width:264;height:296" coordorigin="8441,9463" coordsize="264,296" o:spt="100" adj="0,,0" path="m8446,9468r259,m8441,9463r,295e" filled="f" strokeweight=".48pt">
              <v:stroke joinstyle="round"/>
              <v:formulas/>
              <v:path arrowok="t" o:connecttype="segments"/>
            </v:shape>
            <v:shape id="_x0000_s1100" style="position:absolute;left:8445;top:9463;width:264;height:296" coordorigin="8446,9463" coordsize="264,296" o:spt="100" adj="0,,0" path="m8710,9463r,295m8446,9754r259,e" filled="f" strokeweight=".48pt">
              <v:stroke joinstyle="round"/>
              <v:formulas/>
              <v:path arrowok="t" o:connecttype="segments"/>
            </v:shape>
            <w10:wrap anchorx="page" anchory="page"/>
          </v:group>
        </w:pict>
      </w:r>
      <w:r>
        <w:pict>
          <v:group id="_x0000_s1092" style="position:absolute;left:0;text-align:left;margin-left:470.5pt;margin-top:473.15pt;width:15.6pt;height:14.8pt;z-index:-7528;mso-position-horizontal-relative:page;mso-position-vertical-relative:page" coordorigin="9410,9463" coordsize="312,296">
            <v:line id="_x0000_s1098" style="position:absolute" from="9420,9647" to="9713,9647" strokeweight=".6pt"/>
            <v:line id="_x0000_s1097" style="position:absolute" from="9420,9623" to="9713,9623" strokeweight=".6pt"/>
            <v:line id="_x0000_s1096" style="position:absolute" from="9420,9468" to="9713,9468" strokeweight=".48pt"/>
            <v:line id="_x0000_s1095" style="position:absolute" from="9415,9463" to="9415,9758" strokeweight=".48pt"/>
            <v:line id="_x0000_s1094" style="position:absolute" from="9718,9463" to="9718,9758" strokeweight=".48pt"/>
            <v:line id="_x0000_s1093" style="position:absolute" from="9420,9754" to="9713,9754" strokeweight=".48pt"/>
            <w10:wrap anchorx="page" anchory="page"/>
          </v:group>
        </w:pict>
      </w:r>
      <w:r>
        <w:pict>
          <v:group id="_x0000_s1088" style="position:absolute;left:0;text-align:left;margin-left:421.8pt;margin-top:541.1pt;width:13.95pt;height:14.8pt;z-index:-7504;mso-position-horizontal-relative:page;mso-position-vertical-relative:page" coordorigin="8436,10822" coordsize="279,296">
            <v:shape id="_x0000_s1091" style="position:absolute;left:8440;top:10821;width:264;height:296" coordorigin="8441,10822" coordsize="264,296" o:spt="100" adj="0,,0" path="m8446,10826r259,m8441,10822r,295e" filled="f" strokeweight=".48pt">
              <v:stroke joinstyle="round"/>
              <v:formulas/>
              <v:path arrowok="t" o:connecttype="segments"/>
            </v:shape>
            <v:line id="_x0000_s1090" style="position:absolute" from="8710,10822" to="8710,11117" strokeweight=".48pt"/>
            <v:line id="_x0000_s1089" style="position:absolute" from="8446,11112" to="8705,11112" strokeweight=".48pt"/>
            <w10:wrap anchorx="page" anchory="page"/>
          </v:group>
        </w:pict>
      </w:r>
      <w:r>
        <w:pict>
          <v:group id="_x0000_s1083" style="position:absolute;left:0;text-align:left;margin-left:470.5pt;margin-top:541.1pt;width:15.6pt;height:14.8pt;z-index:-7480;mso-position-horizontal-relative:page;mso-position-vertical-relative:page" coordorigin="9410,10822" coordsize="312,296">
            <v:shape id="_x0000_s1087" style="position:absolute;left:9420;top:10981;width:293;height:24" coordorigin="9420,10981" coordsize="293,24" o:spt="100" adj="0,,0" path="m9420,11005r293,m9420,10981r293,e" filled="f" strokeweight=".6pt">
              <v:stroke joinstyle="round"/>
              <v:formulas/>
              <v:path arrowok="t" o:connecttype="segments"/>
            </v:shape>
            <v:line id="_x0000_s1086" style="position:absolute" from="9420,10826" to="9713,10826" strokeweight=".48pt"/>
            <v:line id="_x0000_s1085" style="position:absolute" from="9415,10822" to="9415,11117" strokeweight=".48pt"/>
            <v:shape id="_x0000_s1084" style="position:absolute;left:9420;top:10821;width:298;height:296" coordorigin="9420,10822" coordsize="298,296" o:spt="100" adj="0,,0" path="m9718,10822r,295m9420,11112r293,e" filled="f" strokeweight=".48pt">
              <v:stroke joinstyle="round"/>
              <v:formulas/>
              <v:path arrowok="t" o:connecttype="segments"/>
            </v:shape>
            <w10:wrap anchorx="page" anchory="page"/>
          </v:group>
        </w:pict>
      </w:r>
      <w:r>
        <w:pict>
          <v:group id="_x0000_s1078" style="position:absolute;left:0;text-align:left;margin-left:421.8pt;margin-top:626.4pt;width:13.95pt;height:14.8pt;z-index:-7456;mso-position-horizontal-relative:page;mso-position-vertical-relative:page" coordorigin="8436,12528" coordsize="279,296">
            <v:line id="_x0000_s1082" style="position:absolute" from="8446,12533" to="8705,12533" strokeweight=".48pt"/>
            <v:line id="_x0000_s1081" style="position:absolute" from="8441,12528" to="8441,12823" strokeweight=".48pt"/>
            <v:line id="_x0000_s1080" style="position:absolute" from="8710,12528" to="8710,12823" strokeweight=".48pt"/>
            <v:line id="_x0000_s1079" style="position:absolute" from="8446,12818" to="8705,12818" strokeweight=".48pt"/>
            <w10:wrap anchorx="page" anchory="page"/>
          </v:group>
        </w:pict>
      </w:r>
      <w:r>
        <w:pict>
          <v:group id="_x0000_s1072" style="position:absolute;left:0;text-align:left;margin-left:470.5pt;margin-top:626.4pt;width:15.6pt;height:14.8pt;z-index:-7432;mso-position-horizontal-relative:page;mso-position-vertical-relative:page" coordorigin="9410,12528" coordsize="312,296">
            <v:shape id="_x0000_s1077" style="position:absolute;left:9420;top:12687;width:293;height:24" coordorigin="9420,12688" coordsize="293,24" o:spt="100" adj="0,,0" path="m9420,12712r293,m9420,12688r293,e" filled="f" strokeweight=".6pt">
              <v:stroke joinstyle="round"/>
              <v:formulas/>
              <v:path arrowok="t" o:connecttype="segments"/>
            </v:shape>
            <v:line id="_x0000_s1076" style="position:absolute" from="9420,12533" to="9713,12533" strokeweight=".48pt"/>
            <v:line id="_x0000_s1075" style="position:absolute" from="9415,12528" to="9415,12823" strokeweight=".48pt"/>
            <v:line id="_x0000_s1074" style="position:absolute" from="9718,12528" to="9718,12823" strokeweight=".48pt"/>
            <v:line id="_x0000_s1073" style="position:absolute" from="9420,12818" to="9713,12818" strokeweight=".48pt"/>
            <w10:wrap anchorx="page" anchory="page"/>
          </v:group>
        </w:pict>
      </w:r>
      <w:r>
        <w:pict>
          <v:group id="_x0000_s1067" style="position:absolute;left:0;text-align:left;margin-left:421.8pt;margin-top:694.3pt;width:13.95pt;height:14.8pt;z-index:-7408;mso-position-horizontal-relative:page;mso-position-vertical-relative:page" coordorigin="8436,13886" coordsize="279,296">
            <v:line id="_x0000_s1071" style="position:absolute" from="8446,13891" to="8705,13891" strokeweight=".48pt"/>
            <v:line id="_x0000_s1070" style="position:absolute" from="8441,13886" to="8441,14182" strokeweight=".48pt"/>
            <v:line id="_x0000_s1069" style="position:absolute" from="8710,13886" to="8710,14182" strokeweight=".48pt"/>
            <v:line id="_x0000_s1068" style="position:absolute" from="8446,14177" to="8705,14177" strokeweight=".48pt"/>
            <w10:wrap anchorx="page" anchory="page"/>
          </v:group>
        </w:pict>
      </w:r>
      <w:r>
        <w:pict>
          <v:group id="_x0000_s1060" style="position:absolute;left:0;text-align:left;margin-left:470.5pt;margin-top:694.3pt;width:15.6pt;height:14.8pt;z-index:-7384;mso-position-horizontal-relative:page;mso-position-vertical-relative:page" coordorigin="9410,13886" coordsize="312,296">
            <v:line id="_x0000_s1066" style="position:absolute" from="9420,14070" to="9713,14070" strokeweight=".6pt"/>
            <v:line id="_x0000_s1065" style="position:absolute" from="9420,14046" to="9713,14046" strokeweight=".6pt"/>
            <v:line id="_x0000_s1064" style="position:absolute" from="9420,13891" to="9713,13891" strokeweight=".48pt"/>
            <v:line id="_x0000_s1063" style="position:absolute" from="9415,13886" to="9415,14182" strokeweight=".48pt"/>
            <v:line id="_x0000_s1062" style="position:absolute" from="9718,13886" to="9718,14182" strokeweight=".48pt"/>
            <v:line id="_x0000_s1061" style="position:absolute" from="9420,14177" to="9713,14177" strokeweight=".48pt"/>
            <w10:wrap anchorx="page" anchory="page"/>
          </v:group>
        </w:pict>
      </w:r>
      <w:r>
        <w:pict>
          <v:group id="_x0000_s1055" style="position:absolute;left:0;text-align:left;margin-left:421.8pt;margin-top:742.1pt;width:13.95pt;height:14.8pt;z-index:-7360;mso-position-horizontal-relative:page;mso-position-vertical-relative:page" coordorigin="8436,14842" coordsize="279,296">
            <v:line id="_x0000_s1059" style="position:absolute" from="8446,14846" to="8705,14846" strokeweight=".48pt"/>
            <v:line id="_x0000_s1058" style="position:absolute" from="8441,14842" to="8441,15137" strokeweight=".48pt"/>
            <v:line id="_x0000_s1057" style="position:absolute" from="8710,14842" to="8710,15137" strokeweight=".48pt"/>
            <v:line id="_x0000_s1056" style="position:absolute" from="8446,15132" to="8705,15132" strokeweight=".48pt"/>
            <w10:wrap anchorx="page" anchory="page"/>
          </v:group>
        </w:pict>
      </w:r>
      <w:r>
        <w:pict>
          <v:group id="_x0000_s1048" style="position:absolute;left:0;text-align:left;margin-left:470.5pt;margin-top:742.1pt;width:15.6pt;height:14.8pt;z-index:-7336;mso-position-horizontal-relative:page;mso-position-vertical-relative:page" coordorigin="9410,14842" coordsize="312,296">
            <v:line id="_x0000_s1054" style="position:absolute" from="9420,15025" to="9713,15025" strokeweight=".6pt"/>
            <v:line id="_x0000_s1053" style="position:absolute" from="9420,15001" to="9713,15001" strokeweight=".6pt"/>
            <v:line id="_x0000_s1052" style="position:absolute" from="9420,14846" to="9713,14846" strokeweight=".48pt"/>
            <v:line id="_x0000_s1051" style="position:absolute" from="9415,14842" to="9415,15137" strokeweight=".48pt"/>
            <v:line id="_x0000_s1050" style="position:absolute" from="9718,14842" to="9718,15137" strokeweight=".48pt"/>
            <v:line id="_x0000_s1049" style="position:absolute" from="9420,15132" to="9713,15132" strokeweight=".48pt"/>
            <w10:wrap anchorx="page" anchory="page"/>
          </v:group>
        </w:pict>
      </w:r>
      <w:r>
        <w:pict>
          <v:group id="_x0000_s1043" style="position:absolute;left:0;text-align:left;margin-left:421.8pt;margin-top:781.55pt;width:13.95pt;height:14.8pt;z-index:-7312;mso-position-horizontal-relative:page;mso-position-vertical-relative:page" coordorigin="8436,15631" coordsize="279,296">
            <v:line id="_x0000_s1047" style="position:absolute" from="8446,15636" to="8705,15636" strokeweight=".48pt"/>
            <v:line id="_x0000_s1046" style="position:absolute" from="8441,15631" to="8441,15926" strokeweight=".48pt"/>
            <v:line id="_x0000_s1045" style="position:absolute" from="8710,15631" to="8710,15926" strokeweight=".48pt"/>
            <v:line id="_x0000_s1044" style="position:absolute" from="8446,15922" to="8705,15922" strokeweight=".48pt"/>
            <w10:wrap anchorx="page" anchory="page"/>
          </v:group>
        </w:pict>
      </w:r>
      <w:r>
        <w:pict>
          <v:group id="_x0000_s1036" style="position:absolute;left:0;text-align:left;margin-left:470.5pt;margin-top:781.55pt;width:15.6pt;height:14.8pt;z-index:-7288;mso-position-horizontal-relative:page;mso-position-vertical-relative:page" coordorigin="9410,15631" coordsize="312,296">
            <v:line id="_x0000_s1042" style="position:absolute" from="9420,15815" to="9713,15815" strokeweight=".6pt"/>
            <v:line id="_x0000_s1041" style="position:absolute" from="9420,15791" to="9713,15791" strokeweight=".6pt"/>
            <v:line id="_x0000_s1040" style="position:absolute" from="9420,15636" to="9713,15636" strokeweight=".48pt"/>
            <v:line id="_x0000_s1039" style="position:absolute" from="9415,15631" to="9415,15926" strokeweight=".48pt"/>
            <v:line id="_x0000_s1038" style="position:absolute" from="9718,15631" to="9718,15926" strokeweight=".48pt"/>
            <v:line id="_x0000_s1037" style="position:absolute" from="9420,15922" to="9713,15922" strokeweight=".48pt"/>
            <w10:wrap anchorx="page" anchory="page"/>
          </v:group>
        </w:pict>
      </w:r>
      <w:r w:rsidRPr="007E7D6C">
        <w:rPr>
          <w:b/>
          <w:sz w:val="28"/>
          <w:lang w:val="it-IT"/>
        </w:rPr>
        <w:t>COMUNE DI GROSSETO</w:t>
      </w:r>
    </w:p>
    <w:p w:rsidR="00281055" w:rsidRPr="007E7D6C" w:rsidRDefault="007E7D6C">
      <w:pPr>
        <w:pStyle w:val="Corpotesto"/>
        <w:ind w:left="307" w:right="305"/>
        <w:jc w:val="center"/>
        <w:rPr>
          <w:lang w:val="it-IT"/>
        </w:rPr>
      </w:pPr>
      <w:r w:rsidRPr="007E7D6C">
        <w:rPr>
          <w:lang w:val="it-IT"/>
        </w:rPr>
        <w:t>CONTO CONSUNTIVO 2017</w:t>
      </w:r>
    </w:p>
    <w:p w:rsidR="00281055" w:rsidRPr="007E7D6C" w:rsidRDefault="00281055">
      <w:pPr>
        <w:spacing w:before="10"/>
        <w:rPr>
          <w:b/>
          <w:sz w:val="19"/>
          <w:lang w:val="it-IT"/>
        </w:rPr>
      </w:pPr>
    </w:p>
    <w:p w:rsidR="00281055" w:rsidRPr="007E7D6C" w:rsidRDefault="007E7D6C">
      <w:pPr>
        <w:pStyle w:val="Corpotesto"/>
        <w:ind w:left="307" w:right="305"/>
        <w:jc w:val="center"/>
        <w:rPr>
          <w:lang w:val="it-IT"/>
        </w:rPr>
      </w:pPr>
      <w:r w:rsidRPr="007E7D6C">
        <w:rPr>
          <w:lang w:val="it-IT"/>
        </w:rPr>
        <w:t>CERTIFICAZIONE DEI PARAMETRI OBIETTIVI PER I COMUNI AI FINI DELL’ACCERTAMENTO DELLA CONDIZIONE DI ENTE STRUTTURALMENTE DEFICITARIO</w:t>
      </w:r>
    </w:p>
    <w:p w:rsidR="00281055" w:rsidRDefault="007E7D6C">
      <w:pPr>
        <w:pStyle w:val="Corpotesto"/>
        <w:spacing w:before="1"/>
        <w:ind w:left="307" w:right="305"/>
        <w:jc w:val="center"/>
      </w:pPr>
      <w:r>
        <w:pict>
          <v:group id="_x0000_s1033" style="position:absolute;left:0;text-align:left;margin-left:421.8pt;margin-top:102.5pt;width:13.95pt;height:14.8pt;z-index:-7744;mso-position-horizontal-relative:page" coordorigin="8436,2050" coordsize="279,296">
            <v:shape id="_x0000_s1035" style="position:absolute;left:8440;top:2050;width:264;height:296" coordorigin="8441,2050" coordsize="264,296" o:spt="100" adj="0,,0" path="m8446,2055r259,m8441,2050r,295e" filled="f" strokeweight=".48pt">
              <v:stroke joinstyle="round"/>
              <v:formulas/>
              <v:path arrowok="t" o:connecttype="segments"/>
            </v:shape>
            <v:shape id="_x0000_s1034" style="position:absolute;left:8445;top:2050;width:264;height:296" coordorigin="8446,2050" coordsize="264,296" o:spt="100" adj="0,,0" path="m8710,2050r,295m8446,2341r259,e" filled="f" strokeweight=".48pt">
              <v:stroke joinstyle="round"/>
              <v:formulas/>
              <v:path arrowok="t" o:connecttype="segments"/>
            </v:shape>
            <w10:wrap anchorx="page"/>
          </v:group>
        </w:pict>
      </w:r>
      <w:r>
        <w:pict>
          <v:group id="_x0000_s1026" style="position:absolute;left:0;text-align:left;margin-left:470.5pt;margin-top:102.5pt;width:15.6pt;height:14.8pt;z-index:-7720;mso-position-horizontal-relative:page" coordorigin="9410,2050" coordsize="312,296">
            <v:line id="_x0000_s1032" style="position:absolute" from="9420,2234" to="9713,2234" strokeweight=".6pt"/>
            <v:line id="_x0000_s1031" style="position:absolute" from="9420,2210" to="9713,2210" strokeweight=".6pt"/>
            <v:line id="_x0000_s1030" style="position:absolute" from="9420,2055" to="9713,2055" strokeweight=".48pt"/>
            <v:line id="_x0000_s1029" style="position:absolute" from="9415,2050" to="9415,2345" strokeweight=".48pt"/>
            <v:line id="_x0000_s1028" style="position:absolute" from="9718,2050" to="9718,2345" strokeweight=".48pt"/>
            <v:line id="_x0000_s1027" style="position:absolute" from="9420,2341" to="9713,2341" strokeweight=".48pt"/>
            <w10:wrap anchorx="page"/>
          </v:group>
        </w:pict>
      </w:r>
      <w:r>
        <w:t>PER IL TRIENNIO 2013-2015</w:t>
      </w:r>
    </w:p>
    <w:p w:rsidR="00281055" w:rsidRDefault="00281055">
      <w:pPr>
        <w:rPr>
          <w:b/>
          <w:sz w:val="20"/>
        </w:rPr>
      </w:pPr>
    </w:p>
    <w:p w:rsidR="00281055" w:rsidRDefault="00281055">
      <w:pPr>
        <w:spacing w:before="3" w:after="1"/>
        <w:rPr>
          <w:b/>
          <w:sz w:val="20"/>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46"/>
        <w:gridCol w:w="994"/>
        <w:gridCol w:w="992"/>
      </w:tblGrid>
      <w:tr w:rsidR="00281055">
        <w:trPr>
          <w:trHeight w:val="1034"/>
        </w:trPr>
        <w:tc>
          <w:tcPr>
            <w:tcW w:w="6946" w:type="dxa"/>
            <w:tcBorders>
              <w:top w:val="nil"/>
              <w:left w:val="nil"/>
            </w:tcBorders>
          </w:tcPr>
          <w:p w:rsidR="00281055" w:rsidRDefault="00281055">
            <w:pPr>
              <w:pStyle w:val="TableParagraph"/>
              <w:rPr>
                <w:sz w:val="18"/>
              </w:rPr>
            </w:pPr>
          </w:p>
        </w:tc>
        <w:tc>
          <w:tcPr>
            <w:tcW w:w="1986" w:type="dxa"/>
            <w:gridSpan w:val="2"/>
          </w:tcPr>
          <w:p w:rsidR="00281055" w:rsidRPr="007E7D6C" w:rsidRDefault="007E7D6C">
            <w:pPr>
              <w:pStyle w:val="TableParagraph"/>
              <w:ind w:left="97" w:right="85"/>
              <w:jc w:val="center"/>
              <w:rPr>
                <w:sz w:val="18"/>
                <w:lang w:val="it-IT"/>
              </w:rPr>
            </w:pPr>
            <w:r w:rsidRPr="007E7D6C">
              <w:rPr>
                <w:sz w:val="18"/>
                <w:lang w:val="it-IT"/>
              </w:rPr>
              <w:t>Parametri da considerare per l’individuazione delle condizioni strutturalmente</w:t>
            </w:r>
          </w:p>
          <w:p w:rsidR="00281055" w:rsidRDefault="007E7D6C">
            <w:pPr>
              <w:pStyle w:val="TableParagraph"/>
              <w:spacing w:line="191" w:lineRule="exact"/>
              <w:ind w:left="93" w:right="85"/>
              <w:jc w:val="center"/>
              <w:rPr>
                <w:sz w:val="18"/>
              </w:rPr>
            </w:pPr>
            <w:proofErr w:type="spellStart"/>
            <w:r>
              <w:rPr>
                <w:sz w:val="18"/>
              </w:rPr>
              <w:t>deficit</w:t>
            </w:r>
            <w:r>
              <w:rPr>
                <w:sz w:val="18"/>
              </w:rPr>
              <w:t>arie</w:t>
            </w:r>
            <w:proofErr w:type="spellEnd"/>
          </w:p>
        </w:tc>
      </w:tr>
      <w:tr w:rsidR="00281055">
        <w:trPr>
          <w:trHeight w:val="902"/>
        </w:trPr>
        <w:tc>
          <w:tcPr>
            <w:tcW w:w="6946" w:type="dxa"/>
          </w:tcPr>
          <w:p w:rsidR="00281055" w:rsidRPr="007E7D6C" w:rsidRDefault="007E7D6C">
            <w:pPr>
              <w:pStyle w:val="TableParagraph"/>
              <w:spacing w:before="98"/>
              <w:ind w:left="71" w:right="97"/>
              <w:rPr>
                <w:sz w:val="20"/>
                <w:lang w:val="it-IT"/>
              </w:rPr>
            </w:pPr>
            <w:r w:rsidRPr="007E7D6C">
              <w:rPr>
                <w:sz w:val="20"/>
                <w:lang w:val="it-IT"/>
              </w:rPr>
              <w:t>1) Valore negativo del risultato contabile di gestione superiore in termini di valore assoluto al 5 per cento rispetto alle entrate correnti (a tali fini al risultato contabile si aggiunge l’avanzo di amministrazione utilizzato per le spese di investimento</w:t>
            </w:r>
            <w:r w:rsidRPr="007E7D6C">
              <w:rPr>
                <w:sz w:val="20"/>
                <w:lang w:val="it-IT"/>
              </w:rPr>
              <w:t>);</w:t>
            </w:r>
          </w:p>
        </w:tc>
        <w:tc>
          <w:tcPr>
            <w:tcW w:w="994" w:type="dxa"/>
          </w:tcPr>
          <w:p w:rsidR="00281055" w:rsidRPr="007E7D6C" w:rsidRDefault="00281055">
            <w:pPr>
              <w:pStyle w:val="TableParagraph"/>
              <w:spacing w:before="7"/>
              <w:rPr>
                <w:b/>
                <w:sz w:val="26"/>
                <w:lang w:val="it-IT"/>
              </w:rPr>
            </w:pPr>
          </w:p>
          <w:p w:rsidR="00281055" w:rsidRDefault="007E7D6C">
            <w:pPr>
              <w:pStyle w:val="TableParagraph"/>
              <w:ind w:right="354"/>
              <w:jc w:val="right"/>
              <w:rPr>
                <w:sz w:val="24"/>
              </w:rPr>
            </w:pPr>
            <w:r>
              <w:rPr>
                <w:sz w:val="24"/>
              </w:rPr>
              <w:t>Si</w:t>
            </w:r>
          </w:p>
        </w:tc>
        <w:tc>
          <w:tcPr>
            <w:tcW w:w="992" w:type="dxa"/>
          </w:tcPr>
          <w:p w:rsidR="00281055" w:rsidRDefault="00281055">
            <w:pPr>
              <w:pStyle w:val="TableParagraph"/>
              <w:spacing w:before="7"/>
              <w:rPr>
                <w:b/>
                <w:sz w:val="26"/>
              </w:rPr>
            </w:pPr>
          </w:p>
          <w:p w:rsidR="00281055" w:rsidRDefault="007E7D6C">
            <w:pPr>
              <w:pStyle w:val="TableParagraph"/>
              <w:ind w:left="326" w:right="322"/>
              <w:jc w:val="center"/>
              <w:rPr>
                <w:sz w:val="24"/>
              </w:rPr>
            </w:pPr>
            <w:r>
              <w:rPr>
                <w:sz w:val="24"/>
              </w:rPr>
              <w:t>No</w:t>
            </w:r>
          </w:p>
        </w:tc>
      </w:tr>
      <w:tr w:rsidR="00281055">
        <w:trPr>
          <w:trHeight w:val="1809"/>
        </w:trPr>
        <w:tc>
          <w:tcPr>
            <w:tcW w:w="6946" w:type="dxa"/>
          </w:tcPr>
          <w:p w:rsidR="00281055" w:rsidRPr="007E7D6C" w:rsidRDefault="007E7D6C">
            <w:pPr>
              <w:pStyle w:val="TableParagraph"/>
              <w:spacing w:before="94"/>
              <w:ind w:left="71" w:right="53"/>
              <w:jc w:val="both"/>
              <w:rPr>
                <w:sz w:val="20"/>
                <w:lang w:val="it-IT"/>
              </w:rPr>
            </w:pPr>
            <w:r w:rsidRPr="007E7D6C">
              <w:rPr>
                <w:sz w:val="20"/>
                <w:lang w:val="it-IT"/>
              </w:rPr>
              <w:t>2) Volume dei residui attivi di nuova formazione provenienti dalla gestione di competenza e relativi ai titoli I e III, con l’esclusione delle risorse a titolo di fondo sperimentale di riequilibrio di cui all’articolo 2 del decreto legislativo n. 23 del 20</w:t>
            </w:r>
            <w:r w:rsidRPr="007E7D6C">
              <w:rPr>
                <w:sz w:val="20"/>
                <w:lang w:val="it-IT"/>
              </w:rPr>
              <w:t>11 o di fondo di solidarietà di cui all’articolo 1, comma 380 della legge 24 dicembre 2013 n. 228, superiori al 42 per cento rispetto ai valori di accertamento delle entrate dei medesimi titoli I e III esclusi gli accertamenti delle predette risorse a tito</w:t>
            </w:r>
            <w:r w:rsidRPr="007E7D6C">
              <w:rPr>
                <w:sz w:val="20"/>
                <w:lang w:val="it-IT"/>
              </w:rPr>
              <w:t>lo di fondo sperimentale di riequilibrio o di fondo di solidarietà;</w:t>
            </w:r>
          </w:p>
        </w:tc>
        <w:tc>
          <w:tcPr>
            <w:tcW w:w="994" w:type="dxa"/>
          </w:tcPr>
          <w:p w:rsidR="00281055" w:rsidRPr="007E7D6C" w:rsidRDefault="00281055">
            <w:pPr>
              <w:pStyle w:val="TableParagraph"/>
              <w:rPr>
                <w:b/>
                <w:sz w:val="24"/>
                <w:lang w:val="it-IT"/>
              </w:rPr>
            </w:pPr>
          </w:p>
          <w:p w:rsidR="00281055" w:rsidRPr="007E7D6C" w:rsidRDefault="00281055">
            <w:pPr>
              <w:pStyle w:val="TableParagraph"/>
              <w:rPr>
                <w:b/>
                <w:sz w:val="24"/>
                <w:lang w:val="it-IT"/>
              </w:rPr>
            </w:pPr>
          </w:p>
          <w:p w:rsidR="00281055" w:rsidRDefault="007E7D6C">
            <w:pPr>
              <w:pStyle w:val="TableParagraph"/>
              <w:spacing w:before="207"/>
              <w:ind w:right="354"/>
              <w:jc w:val="right"/>
              <w:rPr>
                <w:sz w:val="24"/>
              </w:rPr>
            </w:pPr>
            <w:r>
              <w:rPr>
                <w:sz w:val="24"/>
              </w:rPr>
              <w:t>Si</w:t>
            </w:r>
          </w:p>
        </w:tc>
        <w:tc>
          <w:tcPr>
            <w:tcW w:w="992" w:type="dxa"/>
          </w:tcPr>
          <w:p w:rsidR="00281055" w:rsidRDefault="00281055">
            <w:pPr>
              <w:pStyle w:val="TableParagraph"/>
              <w:rPr>
                <w:b/>
                <w:sz w:val="24"/>
              </w:rPr>
            </w:pPr>
          </w:p>
          <w:p w:rsidR="00281055" w:rsidRDefault="00281055">
            <w:pPr>
              <w:pStyle w:val="TableParagraph"/>
              <w:rPr>
                <w:b/>
                <w:sz w:val="24"/>
              </w:rPr>
            </w:pPr>
          </w:p>
          <w:p w:rsidR="00281055" w:rsidRDefault="007E7D6C">
            <w:pPr>
              <w:pStyle w:val="TableParagraph"/>
              <w:spacing w:before="207"/>
              <w:ind w:left="326" w:right="322"/>
              <w:jc w:val="center"/>
              <w:rPr>
                <w:sz w:val="24"/>
              </w:rPr>
            </w:pPr>
            <w:r>
              <w:rPr>
                <w:sz w:val="24"/>
              </w:rPr>
              <w:t>No</w:t>
            </w:r>
          </w:p>
        </w:tc>
      </w:tr>
      <w:tr w:rsidR="00281055">
        <w:trPr>
          <w:trHeight w:val="1809"/>
        </w:trPr>
        <w:tc>
          <w:tcPr>
            <w:tcW w:w="6946" w:type="dxa"/>
          </w:tcPr>
          <w:p w:rsidR="00281055" w:rsidRPr="007E7D6C" w:rsidRDefault="007E7D6C">
            <w:pPr>
              <w:pStyle w:val="TableParagraph"/>
              <w:spacing w:before="94"/>
              <w:ind w:left="71" w:right="55"/>
              <w:jc w:val="both"/>
              <w:rPr>
                <w:sz w:val="20"/>
                <w:lang w:val="it-IT"/>
              </w:rPr>
            </w:pPr>
            <w:r w:rsidRPr="007E7D6C">
              <w:rPr>
                <w:sz w:val="20"/>
                <w:lang w:val="it-IT"/>
              </w:rPr>
              <w:t>3) Ammontare dei residui attivi provenienti dalla gestione dei residui attivi e di cui al titolo I e al titolo III superiore al 65 per cento, ad esclusione eventuali residui da risorse a titolo di fondo sperimentale di riequilibrio di cui all’articolo 2 de</w:t>
            </w:r>
            <w:r w:rsidRPr="007E7D6C">
              <w:rPr>
                <w:sz w:val="20"/>
                <w:lang w:val="it-IT"/>
              </w:rPr>
              <w:t xml:space="preserve">l decreto legislativo n. 23 o di fondo di solidarietà di cui all’articolo 1 comma 380 della legge 24 dicembre 2013 n. 228, rapportata agli accertamenti della gestione di competenza delle entrate dei medesimi titoli I e III ad esclusione degli accertamenti </w:t>
            </w:r>
            <w:r w:rsidRPr="007E7D6C">
              <w:rPr>
                <w:sz w:val="20"/>
                <w:lang w:val="it-IT"/>
              </w:rPr>
              <w:t>delle predette</w:t>
            </w:r>
            <w:r w:rsidRPr="007E7D6C">
              <w:rPr>
                <w:spacing w:val="-4"/>
                <w:sz w:val="20"/>
                <w:lang w:val="it-IT"/>
              </w:rPr>
              <w:t xml:space="preserve"> </w:t>
            </w:r>
            <w:r w:rsidRPr="007E7D6C">
              <w:rPr>
                <w:sz w:val="20"/>
                <w:lang w:val="it-IT"/>
              </w:rPr>
              <w:t>risorse</w:t>
            </w:r>
            <w:r w:rsidRPr="007E7D6C">
              <w:rPr>
                <w:spacing w:val="-3"/>
                <w:sz w:val="20"/>
                <w:lang w:val="it-IT"/>
              </w:rPr>
              <w:t xml:space="preserve"> </w:t>
            </w:r>
            <w:r w:rsidRPr="007E7D6C">
              <w:rPr>
                <w:sz w:val="20"/>
                <w:lang w:val="it-IT"/>
              </w:rPr>
              <w:t>a</w:t>
            </w:r>
            <w:r w:rsidRPr="007E7D6C">
              <w:rPr>
                <w:spacing w:val="-4"/>
                <w:sz w:val="20"/>
                <w:lang w:val="it-IT"/>
              </w:rPr>
              <w:t xml:space="preserve"> </w:t>
            </w:r>
            <w:r w:rsidRPr="007E7D6C">
              <w:rPr>
                <w:sz w:val="20"/>
                <w:lang w:val="it-IT"/>
              </w:rPr>
              <w:t>titolo</w:t>
            </w:r>
            <w:r w:rsidRPr="007E7D6C">
              <w:rPr>
                <w:spacing w:val="-2"/>
                <w:sz w:val="20"/>
                <w:lang w:val="it-IT"/>
              </w:rPr>
              <w:t xml:space="preserve"> </w:t>
            </w:r>
            <w:r w:rsidRPr="007E7D6C">
              <w:rPr>
                <w:sz w:val="20"/>
                <w:lang w:val="it-IT"/>
              </w:rPr>
              <w:t>di</w:t>
            </w:r>
            <w:r w:rsidRPr="007E7D6C">
              <w:rPr>
                <w:spacing w:val="-3"/>
                <w:sz w:val="20"/>
                <w:lang w:val="it-IT"/>
              </w:rPr>
              <w:t xml:space="preserve"> </w:t>
            </w:r>
            <w:r w:rsidRPr="007E7D6C">
              <w:rPr>
                <w:sz w:val="20"/>
                <w:lang w:val="it-IT"/>
              </w:rPr>
              <w:t>fondo</w:t>
            </w:r>
            <w:r w:rsidRPr="007E7D6C">
              <w:rPr>
                <w:spacing w:val="-3"/>
                <w:sz w:val="20"/>
                <w:lang w:val="it-IT"/>
              </w:rPr>
              <w:t xml:space="preserve"> </w:t>
            </w:r>
            <w:r w:rsidRPr="007E7D6C">
              <w:rPr>
                <w:sz w:val="20"/>
                <w:lang w:val="it-IT"/>
              </w:rPr>
              <w:t>sperimentale</w:t>
            </w:r>
            <w:r w:rsidRPr="007E7D6C">
              <w:rPr>
                <w:spacing w:val="-3"/>
                <w:sz w:val="20"/>
                <w:lang w:val="it-IT"/>
              </w:rPr>
              <w:t xml:space="preserve"> </w:t>
            </w:r>
            <w:r w:rsidRPr="007E7D6C">
              <w:rPr>
                <w:sz w:val="20"/>
                <w:lang w:val="it-IT"/>
              </w:rPr>
              <w:t>di</w:t>
            </w:r>
            <w:r w:rsidRPr="007E7D6C">
              <w:rPr>
                <w:spacing w:val="-4"/>
                <w:sz w:val="20"/>
                <w:lang w:val="it-IT"/>
              </w:rPr>
              <w:t xml:space="preserve"> </w:t>
            </w:r>
            <w:r w:rsidRPr="007E7D6C">
              <w:rPr>
                <w:sz w:val="20"/>
                <w:lang w:val="it-IT"/>
              </w:rPr>
              <w:t>riequilibrio</w:t>
            </w:r>
            <w:r w:rsidRPr="007E7D6C">
              <w:rPr>
                <w:spacing w:val="-2"/>
                <w:sz w:val="20"/>
                <w:lang w:val="it-IT"/>
              </w:rPr>
              <w:t xml:space="preserve"> </w:t>
            </w:r>
            <w:r w:rsidRPr="007E7D6C">
              <w:rPr>
                <w:sz w:val="20"/>
                <w:lang w:val="it-IT"/>
              </w:rPr>
              <w:t>o</w:t>
            </w:r>
            <w:r w:rsidRPr="007E7D6C">
              <w:rPr>
                <w:spacing w:val="-2"/>
                <w:sz w:val="20"/>
                <w:lang w:val="it-IT"/>
              </w:rPr>
              <w:t xml:space="preserve"> </w:t>
            </w:r>
            <w:r w:rsidRPr="007E7D6C">
              <w:rPr>
                <w:sz w:val="20"/>
                <w:lang w:val="it-IT"/>
              </w:rPr>
              <w:t>di</w:t>
            </w:r>
            <w:r w:rsidRPr="007E7D6C">
              <w:rPr>
                <w:spacing w:val="-4"/>
                <w:sz w:val="20"/>
                <w:lang w:val="it-IT"/>
              </w:rPr>
              <w:t xml:space="preserve"> </w:t>
            </w:r>
            <w:r w:rsidRPr="007E7D6C">
              <w:rPr>
                <w:sz w:val="20"/>
                <w:lang w:val="it-IT"/>
              </w:rPr>
              <w:t>fondo</w:t>
            </w:r>
            <w:r w:rsidRPr="007E7D6C">
              <w:rPr>
                <w:spacing w:val="-2"/>
                <w:sz w:val="20"/>
                <w:lang w:val="it-IT"/>
              </w:rPr>
              <w:t xml:space="preserve"> </w:t>
            </w:r>
            <w:r w:rsidRPr="007E7D6C">
              <w:rPr>
                <w:sz w:val="20"/>
                <w:lang w:val="it-IT"/>
              </w:rPr>
              <w:t>di</w:t>
            </w:r>
            <w:r w:rsidRPr="007E7D6C">
              <w:rPr>
                <w:spacing w:val="-4"/>
                <w:sz w:val="20"/>
                <w:lang w:val="it-IT"/>
              </w:rPr>
              <w:t xml:space="preserve"> </w:t>
            </w:r>
            <w:r w:rsidRPr="007E7D6C">
              <w:rPr>
                <w:sz w:val="20"/>
                <w:lang w:val="it-IT"/>
              </w:rPr>
              <w:t>solidarietà;</w:t>
            </w:r>
          </w:p>
        </w:tc>
        <w:tc>
          <w:tcPr>
            <w:tcW w:w="994" w:type="dxa"/>
          </w:tcPr>
          <w:p w:rsidR="00281055" w:rsidRPr="007E7D6C" w:rsidRDefault="00281055">
            <w:pPr>
              <w:pStyle w:val="TableParagraph"/>
              <w:rPr>
                <w:b/>
                <w:sz w:val="24"/>
                <w:lang w:val="it-IT"/>
              </w:rPr>
            </w:pPr>
          </w:p>
          <w:p w:rsidR="00281055" w:rsidRPr="007E7D6C" w:rsidRDefault="00281055">
            <w:pPr>
              <w:pStyle w:val="TableParagraph"/>
              <w:rPr>
                <w:b/>
                <w:sz w:val="24"/>
                <w:lang w:val="it-IT"/>
              </w:rPr>
            </w:pPr>
          </w:p>
          <w:p w:rsidR="00281055" w:rsidRDefault="007E7D6C">
            <w:pPr>
              <w:pStyle w:val="TableParagraph"/>
              <w:spacing w:before="210"/>
              <w:ind w:right="354"/>
              <w:jc w:val="right"/>
              <w:rPr>
                <w:sz w:val="24"/>
              </w:rPr>
            </w:pPr>
            <w:r>
              <w:rPr>
                <w:sz w:val="24"/>
              </w:rPr>
              <w:t>Si</w:t>
            </w:r>
          </w:p>
        </w:tc>
        <w:tc>
          <w:tcPr>
            <w:tcW w:w="992" w:type="dxa"/>
          </w:tcPr>
          <w:p w:rsidR="00281055" w:rsidRDefault="00281055">
            <w:pPr>
              <w:pStyle w:val="TableParagraph"/>
              <w:rPr>
                <w:b/>
                <w:sz w:val="24"/>
              </w:rPr>
            </w:pPr>
          </w:p>
          <w:p w:rsidR="00281055" w:rsidRDefault="00281055">
            <w:pPr>
              <w:pStyle w:val="TableParagraph"/>
              <w:rPr>
                <w:b/>
                <w:sz w:val="24"/>
              </w:rPr>
            </w:pPr>
          </w:p>
          <w:p w:rsidR="00281055" w:rsidRDefault="007E7D6C">
            <w:pPr>
              <w:pStyle w:val="TableParagraph"/>
              <w:spacing w:before="210"/>
              <w:ind w:left="326" w:right="322"/>
              <w:jc w:val="center"/>
              <w:rPr>
                <w:sz w:val="24"/>
              </w:rPr>
            </w:pPr>
            <w:r>
              <w:rPr>
                <w:sz w:val="24"/>
              </w:rPr>
              <w:t>No</w:t>
            </w:r>
          </w:p>
        </w:tc>
      </w:tr>
      <w:tr w:rsidR="00281055">
        <w:trPr>
          <w:trHeight w:val="767"/>
        </w:trPr>
        <w:tc>
          <w:tcPr>
            <w:tcW w:w="6946" w:type="dxa"/>
          </w:tcPr>
          <w:p w:rsidR="00281055" w:rsidRPr="007E7D6C" w:rsidRDefault="007E7D6C">
            <w:pPr>
              <w:pStyle w:val="TableParagraph"/>
              <w:spacing w:before="149"/>
              <w:ind w:left="71"/>
              <w:rPr>
                <w:sz w:val="20"/>
                <w:lang w:val="it-IT"/>
              </w:rPr>
            </w:pPr>
            <w:r w:rsidRPr="007E7D6C">
              <w:rPr>
                <w:sz w:val="20"/>
                <w:lang w:val="it-IT"/>
              </w:rPr>
              <w:t>4) Volume dei residui passivi complessivi provenienti dal titolo I superiore al 40 per cento degli impegni della medesima spesa corrente;</w:t>
            </w:r>
          </w:p>
        </w:tc>
        <w:tc>
          <w:tcPr>
            <w:tcW w:w="994" w:type="dxa"/>
          </w:tcPr>
          <w:p w:rsidR="00281055" w:rsidRPr="007E7D6C" w:rsidRDefault="00281055">
            <w:pPr>
              <w:pStyle w:val="TableParagraph"/>
              <w:spacing w:before="11"/>
              <w:rPr>
                <w:b/>
                <w:sz w:val="20"/>
                <w:lang w:val="it-IT"/>
              </w:rPr>
            </w:pPr>
          </w:p>
          <w:p w:rsidR="00281055" w:rsidRDefault="007E7D6C">
            <w:pPr>
              <w:pStyle w:val="TableParagraph"/>
              <w:ind w:right="354"/>
              <w:jc w:val="right"/>
              <w:rPr>
                <w:sz w:val="24"/>
              </w:rPr>
            </w:pPr>
            <w:r>
              <w:rPr>
                <w:sz w:val="24"/>
              </w:rPr>
              <w:t>Si</w:t>
            </w:r>
          </w:p>
        </w:tc>
        <w:tc>
          <w:tcPr>
            <w:tcW w:w="992" w:type="dxa"/>
          </w:tcPr>
          <w:p w:rsidR="00281055" w:rsidRDefault="00281055">
            <w:pPr>
              <w:pStyle w:val="TableParagraph"/>
              <w:spacing w:before="11"/>
              <w:rPr>
                <w:b/>
                <w:sz w:val="20"/>
              </w:rPr>
            </w:pPr>
          </w:p>
          <w:p w:rsidR="00281055" w:rsidRDefault="007E7D6C">
            <w:pPr>
              <w:pStyle w:val="TableParagraph"/>
              <w:ind w:left="326" w:right="322"/>
              <w:jc w:val="center"/>
              <w:rPr>
                <w:sz w:val="24"/>
              </w:rPr>
            </w:pPr>
            <w:r>
              <w:rPr>
                <w:sz w:val="24"/>
              </w:rPr>
              <w:t>No</w:t>
            </w:r>
          </w:p>
        </w:tc>
      </w:tr>
      <w:tr w:rsidR="00281055">
        <w:trPr>
          <w:trHeight w:val="890"/>
        </w:trPr>
        <w:tc>
          <w:tcPr>
            <w:tcW w:w="6946" w:type="dxa"/>
          </w:tcPr>
          <w:p w:rsidR="00281055" w:rsidRPr="007E7D6C" w:rsidRDefault="007E7D6C">
            <w:pPr>
              <w:pStyle w:val="TableParagraph"/>
              <w:spacing w:before="94"/>
              <w:ind w:left="71" w:right="53"/>
              <w:jc w:val="both"/>
              <w:rPr>
                <w:sz w:val="20"/>
                <w:lang w:val="it-IT"/>
              </w:rPr>
            </w:pPr>
            <w:r w:rsidRPr="007E7D6C">
              <w:rPr>
                <w:sz w:val="20"/>
                <w:lang w:val="it-IT"/>
              </w:rPr>
              <w:t>5) Esistenza di procedimenti di esecuzione forzata superiore allo 0,5 per cento delle spese correnti anche se non hanno prodotto vincoli a seguito delle disposizioni di cui all’articolo 159 del tuoel;</w:t>
            </w:r>
          </w:p>
        </w:tc>
        <w:tc>
          <w:tcPr>
            <w:tcW w:w="994" w:type="dxa"/>
          </w:tcPr>
          <w:p w:rsidR="00281055" w:rsidRPr="007E7D6C" w:rsidRDefault="00281055">
            <w:pPr>
              <w:pStyle w:val="TableParagraph"/>
              <w:spacing w:before="2"/>
              <w:rPr>
                <w:b/>
                <w:sz w:val="26"/>
                <w:lang w:val="it-IT"/>
              </w:rPr>
            </w:pPr>
          </w:p>
          <w:p w:rsidR="00281055" w:rsidRDefault="007E7D6C">
            <w:pPr>
              <w:pStyle w:val="TableParagraph"/>
              <w:ind w:right="354"/>
              <w:jc w:val="right"/>
              <w:rPr>
                <w:sz w:val="24"/>
              </w:rPr>
            </w:pPr>
            <w:r>
              <w:rPr>
                <w:sz w:val="24"/>
              </w:rPr>
              <w:t>Si</w:t>
            </w:r>
          </w:p>
        </w:tc>
        <w:tc>
          <w:tcPr>
            <w:tcW w:w="992" w:type="dxa"/>
          </w:tcPr>
          <w:p w:rsidR="00281055" w:rsidRDefault="00281055">
            <w:pPr>
              <w:pStyle w:val="TableParagraph"/>
              <w:spacing w:before="2"/>
              <w:rPr>
                <w:b/>
                <w:sz w:val="26"/>
              </w:rPr>
            </w:pPr>
          </w:p>
          <w:p w:rsidR="00281055" w:rsidRDefault="007E7D6C">
            <w:pPr>
              <w:pStyle w:val="TableParagraph"/>
              <w:ind w:left="326" w:right="322"/>
              <w:jc w:val="center"/>
              <w:rPr>
                <w:sz w:val="24"/>
              </w:rPr>
            </w:pPr>
            <w:r>
              <w:rPr>
                <w:sz w:val="24"/>
              </w:rPr>
              <w:t>No</w:t>
            </w:r>
          </w:p>
        </w:tc>
      </w:tr>
      <w:tr w:rsidR="00281055">
        <w:trPr>
          <w:trHeight w:val="1809"/>
        </w:trPr>
        <w:tc>
          <w:tcPr>
            <w:tcW w:w="6946" w:type="dxa"/>
          </w:tcPr>
          <w:p w:rsidR="00281055" w:rsidRPr="007E7D6C" w:rsidRDefault="007E7D6C">
            <w:pPr>
              <w:pStyle w:val="TableParagraph"/>
              <w:spacing w:before="94"/>
              <w:ind w:left="71" w:right="54"/>
              <w:jc w:val="both"/>
              <w:rPr>
                <w:sz w:val="20"/>
                <w:lang w:val="it-IT"/>
              </w:rPr>
            </w:pPr>
            <w:r w:rsidRPr="007E7D6C">
              <w:rPr>
                <w:sz w:val="20"/>
                <w:lang w:val="it-IT"/>
              </w:rPr>
              <w:t>6) volume complessivo delle spese di personale a vario titolo rapportato al volume complessivo delle entrate correnti desumibili dai titoli I, II e III superiore al 40 per cento per i comuni inferiori a 5.000 abitanti, superiore al 39 per cento per i comun</w:t>
            </w:r>
            <w:r w:rsidRPr="007E7D6C">
              <w:rPr>
                <w:sz w:val="20"/>
                <w:lang w:val="it-IT"/>
              </w:rPr>
              <w:t>i da 5.000 a 29.999 abitanti e superiore al 38 per cento per i comuni oltre i 29.999 abitanti; tale valore è calcolato al netto dei contributi regionali nonché di altri enti pubblici finalizzati a finanziare spese di personale per cui il valore di tali con</w:t>
            </w:r>
            <w:r w:rsidRPr="007E7D6C">
              <w:rPr>
                <w:sz w:val="20"/>
                <w:lang w:val="it-IT"/>
              </w:rPr>
              <w:t>tributi va detratto sia al numeratore che al denominatore del parametro;</w:t>
            </w:r>
          </w:p>
        </w:tc>
        <w:tc>
          <w:tcPr>
            <w:tcW w:w="994" w:type="dxa"/>
          </w:tcPr>
          <w:p w:rsidR="00281055" w:rsidRPr="007E7D6C" w:rsidRDefault="00281055">
            <w:pPr>
              <w:pStyle w:val="TableParagraph"/>
              <w:rPr>
                <w:b/>
                <w:sz w:val="24"/>
                <w:lang w:val="it-IT"/>
              </w:rPr>
            </w:pPr>
          </w:p>
          <w:p w:rsidR="00281055" w:rsidRPr="007E7D6C" w:rsidRDefault="00281055">
            <w:pPr>
              <w:pStyle w:val="TableParagraph"/>
              <w:rPr>
                <w:b/>
                <w:sz w:val="24"/>
                <w:lang w:val="it-IT"/>
              </w:rPr>
            </w:pPr>
          </w:p>
          <w:p w:rsidR="00281055" w:rsidRDefault="007E7D6C">
            <w:pPr>
              <w:pStyle w:val="TableParagraph"/>
              <w:spacing w:before="207"/>
              <w:ind w:right="354"/>
              <w:jc w:val="right"/>
              <w:rPr>
                <w:sz w:val="24"/>
              </w:rPr>
            </w:pPr>
            <w:r>
              <w:rPr>
                <w:sz w:val="24"/>
              </w:rPr>
              <w:t>Si</w:t>
            </w:r>
          </w:p>
        </w:tc>
        <w:tc>
          <w:tcPr>
            <w:tcW w:w="992" w:type="dxa"/>
          </w:tcPr>
          <w:p w:rsidR="00281055" w:rsidRDefault="00281055">
            <w:pPr>
              <w:pStyle w:val="TableParagraph"/>
              <w:rPr>
                <w:b/>
                <w:sz w:val="24"/>
              </w:rPr>
            </w:pPr>
          </w:p>
          <w:p w:rsidR="00281055" w:rsidRDefault="00281055">
            <w:pPr>
              <w:pStyle w:val="TableParagraph"/>
              <w:rPr>
                <w:b/>
                <w:sz w:val="24"/>
              </w:rPr>
            </w:pPr>
          </w:p>
          <w:p w:rsidR="00281055" w:rsidRDefault="007E7D6C">
            <w:pPr>
              <w:pStyle w:val="TableParagraph"/>
              <w:spacing w:before="207"/>
              <w:ind w:left="326" w:right="322"/>
              <w:jc w:val="center"/>
              <w:rPr>
                <w:sz w:val="24"/>
              </w:rPr>
            </w:pPr>
            <w:r>
              <w:rPr>
                <w:sz w:val="24"/>
              </w:rPr>
              <w:t>No</w:t>
            </w:r>
          </w:p>
        </w:tc>
      </w:tr>
      <w:tr w:rsidR="00281055">
        <w:trPr>
          <w:trHeight w:val="1578"/>
        </w:trPr>
        <w:tc>
          <w:tcPr>
            <w:tcW w:w="6946" w:type="dxa"/>
          </w:tcPr>
          <w:p w:rsidR="00281055" w:rsidRPr="007E7D6C" w:rsidRDefault="007E7D6C">
            <w:pPr>
              <w:pStyle w:val="TableParagraph"/>
              <w:spacing w:before="94"/>
              <w:ind w:left="71" w:right="55"/>
              <w:jc w:val="both"/>
              <w:rPr>
                <w:sz w:val="20"/>
                <w:lang w:val="it-IT"/>
              </w:rPr>
            </w:pPr>
            <w:r w:rsidRPr="007E7D6C">
              <w:rPr>
                <w:sz w:val="20"/>
                <w:lang w:val="it-IT"/>
              </w:rPr>
              <w:t>7) Consistenza dei debiti di finanziamento non assistiti da contribuzioni superiore al 150 per cento rispetto alle entrate correnti per gli enti che presentano un risultato contabile di gestione positivo e superiore al 120 per cento per gli enti che presen</w:t>
            </w:r>
            <w:r w:rsidRPr="007E7D6C">
              <w:rPr>
                <w:sz w:val="20"/>
                <w:lang w:val="it-IT"/>
              </w:rPr>
              <w:t>tano un risultato contabile di gestione negativo, fermo restando il rispetto del limite di indebitamento di cui all’articolo 204 del tuoel con le modifiche di cui di cui all’art. 8, comma 1 della legge 12 novembre 2011, n. 183, a decorrere dall’1 gennaio</w:t>
            </w:r>
            <w:r w:rsidRPr="007E7D6C">
              <w:rPr>
                <w:spacing w:val="-25"/>
                <w:sz w:val="20"/>
                <w:lang w:val="it-IT"/>
              </w:rPr>
              <w:t xml:space="preserve"> </w:t>
            </w:r>
            <w:r w:rsidRPr="007E7D6C">
              <w:rPr>
                <w:sz w:val="20"/>
                <w:lang w:val="it-IT"/>
              </w:rPr>
              <w:t>2</w:t>
            </w:r>
            <w:r w:rsidRPr="007E7D6C">
              <w:rPr>
                <w:sz w:val="20"/>
                <w:lang w:val="it-IT"/>
              </w:rPr>
              <w:t>012;</w:t>
            </w:r>
          </w:p>
        </w:tc>
        <w:tc>
          <w:tcPr>
            <w:tcW w:w="994" w:type="dxa"/>
          </w:tcPr>
          <w:p w:rsidR="00281055" w:rsidRPr="007E7D6C" w:rsidRDefault="00281055">
            <w:pPr>
              <w:pStyle w:val="TableParagraph"/>
              <w:rPr>
                <w:b/>
                <w:sz w:val="24"/>
                <w:lang w:val="it-IT"/>
              </w:rPr>
            </w:pPr>
          </w:p>
          <w:p w:rsidR="00281055" w:rsidRPr="007E7D6C" w:rsidRDefault="00281055">
            <w:pPr>
              <w:pStyle w:val="TableParagraph"/>
              <w:spacing w:before="3"/>
              <w:rPr>
                <w:b/>
                <w:sz w:val="32"/>
                <w:lang w:val="it-IT"/>
              </w:rPr>
            </w:pPr>
          </w:p>
          <w:p w:rsidR="00281055" w:rsidRDefault="007E7D6C">
            <w:pPr>
              <w:pStyle w:val="TableParagraph"/>
              <w:ind w:right="354"/>
              <w:jc w:val="right"/>
              <w:rPr>
                <w:sz w:val="24"/>
              </w:rPr>
            </w:pPr>
            <w:r>
              <w:rPr>
                <w:sz w:val="24"/>
              </w:rPr>
              <w:t>Si</w:t>
            </w:r>
          </w:p>
        </w:tc>
        <w:tc>
          <w:tcPr>
            <w:tcW w:w="992" w:type="dxa"/>
          </w:tcPr>
          <w:p w:rsidR="00281055" w:rsidRDefault="00281055">
            <w:pPr>
              <w:pStyle w:val="TableParagraph"/>
              <w:rPr>
                <w:b/>
                <w:sz w:val="24"/>
              </w:rPr>
            </w:pPr>
          </w:p>
          <w:p w:rsidR="00281055" w:rsidRDefault="00281055">
            <w:pPr>
              <w:pStyle w:val="TableParagraph"/>
              <w:spacing w:before="3"/>
              <w:rPr>
                <w:b/>
                <w:sz w:val="32"/>
              </w:rPr>
            </w:pPr>
          </w:p>
          <w:p w:rsidR="00281055" w:rsidRDefault="007E7D6C">
            <w:pPr>
              <w:pStyle w:val="TableParagraph"/>
              <w:ind w:left="326" w:right="322"/>
              <w:jc w:val="center"/>
              <w:rPr>
                <w:sz w:val="24"/>
              </w:rPr>
            </w:pPr>
            <w:r>
              <w:rPr>
                <w:sz w:val="24"/>
              </w:rPr>
              <w:t>No</w:t>
            </w:r>
          </w:p>
        </w:tc>
      </w:tr>
      <w:tr w:rsidR="00281055">
        <w:trPr>
          <w:trHeight w:val="1120"/>
        </w:trPr>
        <w:tc>
          <w:tcPr>
            <w:tcW w:w="6946" w:type="dxa"/>
          </w:tcPr>
          <w:p w:rsidR="00281055" w:rsidRPr="007E7D6C" w:rsidRDefault="007E7D6C">
            <w:pPr>
              <w:pStyle w:val="TableParagraph"/>
              <w:spacing w:before="96"/>
              <w:ind w:left="71" w:right="54"/>
              <w:jc w:val="both"/>
              <w:rPr>
                <w:sz w:val="20"/>
                <w:lang w:val="it-IT"/>
              </w:rPr>
            </w:pPr>
            <w:r w:rsidRPr="007E7D6C">
              <w:rPr>
                <w:sz w:val="20"/>
                <w:lang w:val="it-IT"/>
              </w:rPr>
              <w:t>8) Consistenza dei debiti fuori bilancio riconosciuti nel corso  dell’esercizio superiore all’1 per cento rispetto ai valori di accertamento delle entrate correnti, fermo restando che l’indice si considera negativo ove tale soglia venga superata in tutti g</w:t>
            </w:r>
            <w:r w:rsidRPr="007E7D6C">
              <w:rPr>
                <w:sz w:val="20"/>
                <w:lang w:val="it-IT"/>
              </w:rPr>
              <w:t>li ultimi tre esercizi</w:t>
            </w:r>
            <w:r w:rsidRPr="007E7D6C">
              <w:rPr>
                <w:spacing w:val="3"/>
                <w:sz w:val="20"/>
                <w:lang w:val="it-IT"/>
              </w:rPr>
              <w:t xml:space="preserve"> </w:t>
            </w:r>
            <w:r w:rsidRPr="007E7D6C">
              <w:rPr>
                <w:sz w:val="20"/>
                <w:lang w:val="it-IT"/>
              </w:rPr>
              <w:t>finanziari;</w:t>
            </w:r>
          </w:p>
        </w:tc>
        <w:tc>
          <w:tcPr>
            <w:tcW w:w="994" w:type="dxa"/>
          </w:tcPr>
          <w:p w:rsidR="00281055" w:rsidRPr="007E7D6C" w:rsidRDefault="00281055">
            <w:pPr>
              <w:pStyle w:val="TableParagraph"/>
              <w:rPr>
                <w:b/>
                <w:sz w:val="24"/>
                <w:lang w:val="it-IT"/>
              </w:rPr>
            </w:pPr>
          </w:p>
          <w:p w:rsidR="00281055" w:rsidRDefault="007E7D6C">
            <w:pPr>
              <w:pStyle w:val="TableParagraph"/>
              <w:spacing w:before="140"/>
              <w:ind w:right="354"/>
              <w:jc w:val="right"/>
              <w:rPr>
                <w:sz w:val="24"/>
              </w:rPr>
            </w:pPr>
            <w:r>
              <w:rPr>
                <w:sz w:val="24"/>
              </w:rPr>
              <w:t>Si</w:t>
            </w:r>
          </w:p>
        </w:tc>
        <w:tc>
          <w:tcPr>
            <w:tcW w:w="992" w:type="dxa"/>
          </w:tcPr>
          <w:p w:rsidR="00281055" w:rsidRDefault="00281055">
            <w:pPr>
              <w:pStyle w:val="TableParagraph"/>
              <w:rPr>
                <w:b/>
                <w:sz w:val="24"/>
              </w:rPr>
            </w:pPr>
          </w:p>
          <w:p w:rsidR="00281055" w:rsidRDefault="007E7D6C">
            <w:pPr>
              <w:pStyle w:val="TableParagraph"/>
              <w:spacing w:before="140"/>
              <w:ind w:left="326" w:right="322"/>
              <w:jc w:val="center"/>
              <w:rPr>
                <w:sz w:val="24"/>
              </w:rPr>
            </w:pPr>
            <w:r>
              <w:rPr>
                <w:sz w:val="24"/>
              </w:rPr>
              <w:t>No</w:t>
            </w:r>
          </w:p>
        </w:tc>
      </w:tr>
      <w:tr w:rsidR="00281055">
        <w:trPr>
          <w:trHeight w:val="767"/>
        </w:trPr>
        <w:tc>
          <w:tcPr>
            <w:tcW w:w="6946" w:type="dxa"/>
          </w:tcPr>
          <w:p w:rsidR="00281055" w:rsidRPr="007E7D6C" w:rsidRDefault="007E7D6C">
            <w:pPr>
              <w:pStyle w:val="TableParagraph"/>
              <w:spacing w:before="149"/>
              <w:ind w:left="71" w:right="97" w:hanging="1"/>
              <w:rPr>
                <w:sz w:val="20"/>
                <w:lang w:val="it-IT"/>
              </w:rPr>
            </w:pPr>
            <w:r w:rsidRPr="007E7D6C">
              <w:rPr>
                <w:sz w:val="20"/>
                <w:lang w:val="it-IT"/>
              </w:rPr>
              <w:t>9) Eventuale esistenza al 31 dicembre di anticipazioni di tesoreria non rimborsate superiori al 5 per cento rispetto alle entrate correnti;</w:t>
            </w:r>
          </w:p>
        </w:tc>
        <w:tc>
          <w:tcPr>
            <w:tcW w:w="994" w:type="dxa"/>
          </w:tcPr>
          <w:p w:rsidR="00281055" w:rsidRPr="007E7D6C" w:rsidRDefault="00281055">
            <w:pPr>
              <w:pStyle w:val="TableParagraph"/>
              <w:spacing w:before="11"/>
              <w:rPr>
                <w:b/>
                <w:sz w:val="20"/>
                <w:lang w:val="it-IT"/>
              </w:rPr>
            </w:pPr>
          </w:p>
          <w:p w:rsidR="00281055" w:rsidRDefault="007E7D6C">
            <w:pPr>
              <w:pStyle w:val="TableParagraph"/>
              <w:ind w:right="354"/>
              <w:jc w:val="right"/>
              <w:rPr>
                <w:sz w:val="24"/>
              </w:rPr>
            </w:pPr>
            <w:r>
              <w:rPr>
                <w:sz w:val="24"/>
              </w:rPr>
              <w:t>Si</w:t>
            </w:r>
          </w:p>
        </w:tc>
        <w:tc>
          <w:tcPr>
            <w:tcW w:w="992" w:type="dxa"/>
          </w:tcPr>
          <w:p w:rsidR="00281055" w:rsidRDefault="00281055">
            <w:pPr>
              <w:pStyle w:val="TableParagraph"/>
              <w:spacing w:before="11"/>
              <w:rPr>
                <w:b/>
                <w:sz w:val="20"/>
              </w:rPr>
            </w:pPr>
          </w:p>
          <w:p w:rsidR="00281055" w:rsidRDefault="007E7D6C">
            <w:pPr>
              <w:pStyle w:val="TableParagraph"/>
              <w:ind w:left="326" w:right="322"/>
              <w:jc w:val="center"/>
              <w:rPr>
                <w:sz w:val="24"/>
              </w:rPr>
            </w:pPr>
            <w:r>
              <w:rPr>
                <w:sz w:val="24"/>
              </w:rPr>
              <w:t>No</w:t>
            </w:r>
          </w:p>
        </w:tc>
      </w:tr>
      <w:tr w:rsidR="00281055">
        <w:trPr>
          <w:trHeight w:val="791"/>
        </w:trPr>
        <w:tc>
          <w:tcPr>
            <w:tcW w:w="6946" w:type="dxa"/>
          </w:tcPr>
          <w:p w:rsidR="00281055" w:rsidRPr="007E7D6C" w:rsidRDefault="007E7D6C">
            <w:pPr>
              <w:pStyle w:val="TableParagraph"/>
              <w:spacing w:before="96"/>
              <w:ind w:left="71"/>
              <w:rPr>
                <w:sz w:val="20"/>
                <w:lang w:val="it-IT"/>
              </w:rPr>
            </w:pPr>
            <w:r w:rsidRPr="007E7D6C">
              <w:rPr>
                <w:sz w:val="20"/>
                <w:lang w:val="it-IT"/>
              </w:rPr>
              <w:t>10) Ripiano squilibri in sede di provvedimento di salvaguardia di cui all’art. 193 del tuoel</w:t>
            </w:r>
            <w:r w:rsidRPr="007E7D6C">
              <w:rPr>
                <w:spacing w:val="12"/>
                <w:sz w:val="20"/>
                <w:lang w:val="it-IT"/>
              </w:rPr>
              <w:t xml:space="preserve"> </w:t>
            </w:r>
            <w:r w:rsidRPr="007E7D6C">
              <w:rPr>
                <w:sz w:val="20"/>
                <w:lang w:val="it-IT"/>
              </w:rPr>
              <w:t>con</w:t>
            </w:r>
            <w:r w:rsidRPr="007E7D6C">
              <w:rPr>
                <w:spacing w:val="14"/>
                <w:sz w:val="20"/>
                <w:lang w:val="it-IT"/>
              </w:rPr>
              <w:t xml:space="preserve"> </w:t>
            </w:r>
            <w:r w:rsidRPr="007E7D6C">
              <w:rPr>
                <w:sz w:val="20"/>
                <w:lang w:val="it-IT"/>
              </w:rPr>
              <w:t>misure</w:t>
            </w:r>
            <w:r w:rsidRPr="007E7D6C">
              <w:rPr>
                <w:spacing w:val="12"/>
                <w:sz w:val="20"/>
                <w:lang w:val="it-IT"/>
              </w:rPr>
              <w:t xml:space="preserve"> </w:t>
            </w:r>
            <w:r w:rsidRPr="007E7D6C">
              <w:rPr>
                <w:sz w:val="20"/>
                <w:lang w:val="it-IT"/>
              </w:rPr>
              <w:t>di</w:t>
            </w:r>
            <w:r w:rsidRPr="007E7D6C">
              <w:rPr>
                <w:spacing w:val="13"/>
                <w:sz w:val="20"/>
                <w:lang w:val="it-IT"/>
              </w:rPr>
              <w:t xml:space="preserve"> </w:t>
            </w:r>
            <w:r w:rsidRPr="007E7D6C">
              <w:rPr>
                <w:sz w:val="20"/>
                <w:lang w:val="it-IT"/>
              </w:rPr>
              <w:t>alienazione</w:t>
            </w:r>
            <w:r w:rsidRPr="007E7D6C">
              <w:rPr>
                <w:spacing w:val="13"/>
                <w:sz w:val="20"/>
                <w:lang w:val="it-IT"/>
              </w:rPr>
              <w:t xml:space="preserve"> </w:t>
            </w:r>
            <w:r w:rsidRPr="007E7D6C">
              <w:rPr>
                <w:sz w:val="20"/>
                <w:lang w:val="it-IT"/>
              </w:rPr>
              <w:t>di</w:t>
            </w:r>
            <w:r w:rsidRPr="007E7D6C">
              <w:rPr>
                <w:spacing w:val="13"/>
                <w:sz w:val="20"/>
                <w:lang w:val="it-IT"/>
              </w:rPr>
              <w:t xml:space="preserve"> </w:t>
            </w:r>
            <w:r w:rsidRPr="007E7D6C">
              <w:rPr>
                <w:sz w:val="20"/>
                <w:lang w:val="it-IT"/>
              </w:rPr>
              <w:t>beni</w:t>
            </w:r>
            <w:r w:rsidRPr="007E7D6C">
              <w:rPr>
                <w:spacing w:val="12"/>
                <w:sz w:val="20"/>
                <w:lang w:val="it-IT"/>
              </w:rPr>
              <w:t xml:space="preserve"> </w:t>
            </w:r>
            <w:r w:rsidRPr="007E7D6C">
              <w:rPr>
                <w:sz w:val="20"/>
                <w:lang w:val="it-IT"/>
              </w:rPr>
              <w:t>patrimoniali</w:t>
            </w:r>
            <w:r w:rsidRPr="007E7D6C">
              <w:rPr>
                <w:spacing w:val="13"/>
                <w:sz w:val="20"/>
                <w:lang w:val="it-IT"/>
              </w:rPr>
              <w:t xml:space="preserve"> </w:t>
            </w:r>
            <w:r w:rsidRPr="007E7D6C">
              <w:rPr>
                <w:sz w:val="20"/>
                <w:lang w:val="it-IT"/>
              </w:rPr>
              <w:t>e/o</w:t>
            </w:r>
            <w:r w:rsidRPr="007E7D6C">
              <w:rPr>
                <w:spacing w:val="14"/>
                <w:sz w:val="20"/>
                <w:lang w:val="it-IT"/>
              </w:rPr>
              <w:t xml:space="preserve"> </w:t>
            </w:r>
            <w:r w:rsidRPr="007E7D6C">
              <w:rPr>
                <w:sz w:val="20"/>
                <w:lang w:val="it-IT"/>
              </w:rPr>
              <w:t>avanzo</w:t>
            </w:r>
            <w:r w:rsidRPr="007E7D6C">
              <w:rPr>
                <w:spacing w:val="13"/>
                <w:sz w:val="20"/>
                <w:lang w:val="it-IT"/>
              </w:rPr>
              <w:t xml:space="preserve"> </w:t>
            </w:r>
            <w:r w:rsidRPr="007E7D6C">
              <w:rPr>
                <w:sz w:val="20"/>
                <w:lang w:val="it-IT"/>
              </w:rPr>
              <w:t>di</w:t>
            </w:r>
            <w:r w:rsidRPr="007E7D6C">
              <w:rPr>
                <w:spacing w:val="13"/>
                <w:sz w:val="20"/>
                <w:lang w:val="it-IT"/>
              </w:rPr>
              <w:t xml:space="preserve"> </w:t>
            </w:r>
            <w:r w:rsidRPr="007E7D6C">
              <w:rPr>
                <w:sz w:val="20"/>
                <w:lang w:val="it-IT"/>
              </w:rPr>
              <w:t>amministrazione</w:t>
            </w:r>
          </w:p>
          <w:p w:rsidR="00281055" w:rsidRPr="007E7D6C" w:rsidRDefault="007E7D6C">
            <w:pPr>
              <w:pStyle w:val="TableParagraph"/>
              <w:spacing w:line="215" w:lineRule="exact"/>
              <w:ind w:left="71"/>
              <w:rPr>
                <w:sz w:val="20"/>
                <w:lang w:val="it-IT"/>
              </w:rPr>
            </w:pPr>
            <w:r w:rsidRPr="007E7D6C">
              <w:rPr>
                <w:sz w:val="20"/>
                <w:lang w:val="it-IT"/>
              </w:rPr>
              <w:t>superiore  al  5%  dei valori  della  spesa  corrente,  fermo  restando  quanto</w:t>
            </w:r>
            <w:r w:rsidRPr="007E7D6C">
              <w:rPr>
                <w:spacing w:val="27"/>
                <w:sz w:val="20"/>
                <w:lang w:val="it-IT"/>
              </w:rPr>
              <w:t xml:space="preserve"> </w:t>
            </w:r>
            <w:r w:rsidRPr="007E7D6C">
              <w:rPr>
                <w:sz w:val="20"/>
                <w:lang w:val="it-IT"/>
              </w:rPr>
              <w:t>previs</w:t>
            </w:r>
            <w:r w:rsidRPr="007E7D6C">
              <w:rPr>
                <w:sz w:val="20"/>
                <w:lang w:val="it-IT"/>
              </w:rPr>
              <w:t>to</w:t>
            </w:r>
          </w:p>
        </w:tc>
        <w:tc>
          <w:tcPr>
            <w:tcW w:w="994" w:type="dxa"/>
          </w:tcPr>
          <w:p w:rsidR="00281055" w:rsidRPr="007E7D6C" w:rsidRDefault="00281055">
            <w:pPr>
              <w:pStyle w:val="TableParagraph"/>
              <w:rPr>
                <w:b/>
                <w:lang w:val="it-IT"/>
              </w:rPr>
            </w:pPr>
          </w:p>
          <w:p w:rsidR="00281055" w:rsidRDefault="007E7D6C">
            <w:pPr>
              <w:pStyle w:val="TableParagraph"/>
              <w:ind w:right="354"/>
              <w:jc w:val="right"/>
              <w:rPr>
                <w:sz w:val="24"/>
              </w:rPr>
            </w:pPr>
            <w:r>
              <w:rPr>
                <w:sz w:val="24"/>
              </w:rPr>
              <w:t>Si</w:t>
            </w:r>
          </w:p>
        </w:tc>
        <w:tc>
          <w:tcPr>
            <w:tcW w:w="992" w:type="dxa"/>
          </w:tcPr>
          <w:p w:rsidR="00281055" w:rsidRDefault="00281055">
            <w:pPr>
              <w:pStyle w:val="TableParagraph"/>
              <w:rPr>
                <w:b/>
              </w:rPr>
            </w:pPr>
          </w:p>
          <w:p w:rsidR="00281055" w:rsidRDefault="007E7D6C">
            <w:pPr>
              <w:pStyle w:val="TableParagraph"/>
              <w:ind w:left="326" w:right="322"/>
              <w:jc w:val="center"/>
              <w:rPr>
                <w:sz w:val="24"/>
              </w:rPr>
            </w:pPr>
            <w:r>
              <w:rPr>
                <w:sz w:val="24"/>
              </w:rPr>
              <w:t>No</w:t>
            </w:r>
          </w:p>
        </w:tc>
      </w:tr>
    </w:tbl>
    <w:p w:rsidR="00281055" w:rsidRDefault="00281055">
      <w:pPr>
        <w:jc w:val="center"/>
        <w:rPr>
          <w:sz w:val="24"/>
        </w:rPr>
        <w:sectPr w:rsidR="00281055">
          <w:type w:val="continuous"/>
          <w:pgSz w:w="11900" w:h="16840"/>
          <w:pgMar w:top="760" w:right="1020" w:bottom="280" w:left="102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46"/>
        <w:gridCol w:w="994"/>
        <w:gridCol w:w="992"/>
      </w:tblGrid>
      <w:tr w:rsidR="00281055" w:rsidRPr="007E7D6C">
        <w:trPr>
          <w:trHeight w:val="1480"/>
        </w:trPr>
        <w:tc>
          <w:tcPr>
            <w:tcW w:w="6946" w:type="dxa"/>
          </w:tcPr>
          <w:p w:rsidR="00281055" w:rsidRPr="007E7D6C" w:rsidRDefault="007E7D6C">
            <w:pPr>
              <w:pStyle w:val="TableParagraph"/>
              <w:spacing w:line="215" w:lineRule="exact"/>
              <w:ind w:left="71"/>
              <w:rPr>
                <w:sz w:val="20"/>
                <w:lang w:val="it-IT"/>
              </w:rPr>
            </w:pPr>
            <w:r w:rsidRPr="007E7D6C">
              <w:rPr>
                <w:sz w:val="20"/>
                <w:lang w:val="it-IT"/>
              </w:rPr>
              <w:lastRenderedPageBreak/>
              <w:t>dall’articolo 1, commi 443 e 444 della legge 24 dicembre 2012 n. 228 a decorrere</w:t>
            </w:r>
          </w:p>
          <w:p w:rsidR="00281055" w:rsidRPr="007E7D6C" w:rsidRDefault="007E7D6C">
            <w:pPr>
              <w:pStyle w:val="TableParagraph"/>
              <w:ind w:left="71" w:right="55"/>
              <w:jc w:val="both"/>
              <w:rPr>
                <w:sz w:val="20"/>
                <w:lang w:val="it-IT"/>
              </w:rPr>
            </w:pPr>
            <w:proofErr w:type="gramStart"/>
            <w:r w:rsidRPr="007E7D6C">
              <w:rPr>
                <w:sz w:val="20"/>
                <w:lang w:val="it-IT"/>
              </w:rPr>
              <w:t>dall</w:t>
            </w:r>
            <w:proofErr w:type="gramEnd"/>
            <w:r w:rsidRPr="007E7D6C">
              <w:rPr>
                <w:sz w:val="20"/>
                <w:lang w:val="it-IT"/>
              </w:rPr>
              <w:t>’1 gennaio 2013; ove sussistano i presupposti di legge per finanziare il riequilibrio in più esercizi finanziari, viene considerato al numeratore del parametro l’intero importo finanziato con misure di alienazione di beni patrimoniali, oltre che di ava</w:t>
            </w:r>
            <w:r w:rsidRPr="007E7D6C">
              <w:rPr>
                <w:sz w:val="20"/>
                <w:lang w:val="it-IT"/>
              </w:rPr>
              <w:t>nzo di amministrazione, anche se destinato a finanziare lo squilibrio nei successivi esercizi</w:t>
            </w:r>
            <w:r w:rsidRPr="007E7D6C">
              <w:rPr>
                <w:spacing w:val="1"/>
                <w:sz w:val="20"/>
                <w:lang w:val="it-IT"/>
              </w:rPr>
              <w:t xml:space="preserve"> </w:t>
            </w:r>
            <w:r w:rsidRPr="007E7D6C">
              <w:rPr>
                <w:sz w:val="20"/>
                <w:lang w:val="it-IT"/>
              </w:rPr>
              <w:t>finanziari.</w:t>
            </w:r>
          </w:p>
        </w:tc>
        <w:tc>
          <w:tcPr>
            <w:tcW w:w="994" w:type="dxa"/>
          </w:tcPr>
          <w:p w:rsidR="00281055" w:rsidRPr="007E7D6C" w:rsidRDefault="00281055">
            <w:pPr>
              <w:pStyle w:val="TableParagraph"/>
              <w:rPr>
                <w:sz w:val="20"/>
                <w:lang w:val="it-IT"/>
              </w:rPr>
            </w:pPr>
          </w:p>
        </w:tc>
        <w:tc>
          <w:tcPr>
            <w:tcW w:w="992" w:type="dxa"/>
          </w:tcPr>
          <w:p w:rsidR="00281055" w:rsidRPr="007E7D6C" w:rsidRDefault="00281055">
            <w:pPr>
              <w:pStyle w:val="TableParagraph"/>
              <w:rPr>
                <w:sz w:val="20"/>
                <w:lang w:val="it-IT"/>
              </w:rPr>
            </w:pPr>
          </w:p>
        </w:tc>
      </w:tr>
    </w:tbl>
    <w:p w:rsidR="00281055" w:rsidRPr="007E7D6C" w:rsidRDefault="00281055">
      <w:pPr>
        <w:rPr>
          <w:b/>
          <w:sz w:val="20"/>
          <w:lang w:val="it-IT"/>
        </w:rPr>
      </w:pPr>
    </w:p>
    <w:p w:rsidR="00281055" w:rsidRPr="007E7D6C" w:rsidRDefault="007E7D6C">
      <w:pPr>
        <w:spacing w:before="212"/>
        <w:ind w:left="112" w:right="103" w:firstLine="566"/>
        <w:rPr>
          <w:sz w:val="24"/>
          <w:lang w:val="it-IT"/>
        </w:rPr>
      </w:pPr>
      <w:r w:rsidRPr="007E7D6C">
        <w:rPr>
          <w:sz w:val="24"/>
          <w:lang w:val="it-IT"/>
        </w:rPr>
        <w:t>Si attesta che i parametri suindicati sono stati determinati in base alle risultanze amministrativo-contabili dell’ente.</w:t>
      </w:r>
    </w:p>
    <w:p w:rsidR="00281055" w:rsidRPr="007E7D6C" w:rsidRDefault="00281055">
      <w:pPr>
        <w:rPr>
          <w:sz w:val="24"/>
          <w:lang w:val="it-IT"/>
        </w:rPr>
      </w:pPr>
    </w:p>
    <w:p w:rsidR="00281055" w:rsidRPr="007E7D6C" w:rsidRDefault="007E7D6C">
      <w:pPr>
        <w:spacing w:before="187"/>
        <w:ind w:left="5061" w:right="2015" w:hanging="768"/>
        <w:rPr>
          <w:lang w:val="it-IT"/>
        </w:rPr>
      </w:pPr>
      <w:r w:rsidRPr="007E7D6C">
        <w:rPr>
          <w:lang w:val="it-IT"/>
        </w:rPr>
        <w:t>Il Responsabile del Servizio Finanziario (Dott. Giulio Balocchi)</w:t>
      </w:r>
    </w:p>
    <w:sectPr w:rsidR="00281055" w:rsidRPr="007E7D6C">
      <w:pgSz w:w="11900" w:h="16840"/>
      <w:pgMar w:top="860" w:right="102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drawingGridHorizontalSpacing w:val="110"/>
  <w:displayHorizontalDrawingGridEvery w:val="2"/>
  <w:characterSpacingControl w:val="doNotCompress"/>
  <w:compat>
    <w:ulTrailSpace/>
    <w:useFELayout/>
    <w:compatSetting w:name="compatibilityMode" w:uri="http://schemas.microsoft.com/office/word" w:val="12"/>
  </w:compat>
  <w:rsids>
    <w:rsidRoot w:val="00281055"/>
    <w:rsid w:val="00281055"/>
    <w:rsid w:val="007E7D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131"/>
    <o:shapelayout v:ext="edit">
      <o:idmap v:ext="edit" data="1"/>
    </o:shapelayout>
  </w:shapeDefaults>
  <w:decimalSymbol w:val=","/>
  <w:listSeparator w:val=";"/>
  <w15:docId w15:val="{F9CCC747-F02E-4DEE-8ACD-4A0A9AC25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Times New Roman" w:eastAsia="Times New Roman" w:hAnsi="Times New Roman"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b/>
      <w:bCs/>
      <w:sz w:val="20"/>
      <w:szCs w:val="20"/>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690</Words>
  <Characters>3936</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ALL_I_PARAMETRI_DEFICIT</vt:lpstr>
    </vt:vector>
  </TitlesOfParts>
  <Company/>
  <LinksUpToDate>false</LinksUpToDate>
  <CharactersWithSpaces>4617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ALL_I_PARAMETRI_DEFICIT</dc:title>
  <dc:creator>utente</dc:creator>
  <cp:lastModifiedBy>Beatrice</cp:lastModifiedBy>
  <cp:revision>2</cp:revision>
  <dcterms:created xsi:type="dcterms:W3CDTF">2019-03-21T07:03:00Z</dcterms:created>
  <dcterms:modified xsi:type="dcterms:W3CDTF">2019-03-21T07:03:00Z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2018-05-03T00:00:00Z</vt:filetime>
  </property>
  <property fmtid="{D5CDD505-2E9C-101B-9397-08002B2CF9AE}" pid="3" name="Creator">
    <vt:lpwstr>PDFCreator 2.5.1.5</vt:lpwstr>
  </property>
  <property fmtid="{D5CDD505-2E9C-101B-9397-08002B2CF9AE}" pid="4" name="LastSaved">
    <vt:filetime>2019-03-21T00:00:00Z</vt:filetime>
  </property>
</Properties>
</file>